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309CC" w:rsidRPr="002309CC" w:rsidRDefault="002309CC" w:rsidP="002309CC">
      <w:pPr>
        <w:spacing w:after="0" w:line="240" w:lineRule="auto"/>
        <w:rPr>
          <w:rFonts w:ascii="Calibri" w:eastAsia="Times New Roman" w:hAnsi="Calibri" w:cs="Times New Roman"/>
          <w:b/>
          <w:bCs/>
          <w:sz w:val="20"/>
          <w:szCs w:val="20"/>
          <w:lang w:eastAsia="ro-RO"/>
        </w:rPr>
      </w:pPr>
    </w:p>
    <w:p w:rsidR="002309CC" w:rsidRPr="002309CC" w:rsidRDefault="00C118BC" w:rsidP="00C118BC">
      <w:pPr>
        <w:tabs>
          <w:tab w:val="right" w:pos="9072"/>
        </w:tabs>
        <w:spacing w:after="0" w:line="240" w:lineRule="auto"/>
        <w:jc w:val="both"/>
        <w:rPr>
          <w:rFonts w:ascii="Calibri" w:eastAsia="Times New Roman" w:hAnsi="Calibri" w:cs="Times New Roman"/>
          <w:b/>
          <w:bCs/>
          <w:sz w:val="32"/>
          <w:szCs w:val="20"/>
          <w:lang w:eastAsia="ro-RO"/>
        </w:rPr>
      </w:pPr>
      <w:bookmarkStart w:id="0" w:name="_GoBack"/>
      <w:r>
        <w:rPr>
          <w:rFonts w:ascii="Calibri" w:eastAsia="Times New Roman" w:hAnsi="Calibri" w:cs="Times New Roman"/>
          <w:b/>
          <w:bCs/>
          <w:sz w:val="20"/>
          <w:szCs w:val="20"/>
          <w:lang w:eastAsia="ro-RO"/>
        </w:rPr>
        <w:t>Nr.</w:t>
      </w:r>
      <w:r w:rsidR="00045C24">
        <w:rPr>
          <w:rFonts w:ascii="Calibri" w:eastAsia="Times New Roman" w:hAnsi="Calibri" w:cs="Times New Roman"/>
          <w:b/>
          <w:bCs/>
          <w:sz w:val="20"/>
          <w:szCs w:val="20"/>
          <w:lang w:eastAsia="ro-RO"/>
        </w:rPr>
        <w:t>3229</w:t>
      </w:r>
      <w:r>
        <w:rPr>
          <w:rFonts w:ascii="Calibri" w:eastAsia="Times New Roman" w:hAnsi="Calibri" w:cs="Times New Roman"/>
          <w:b/>
          <w:bCs/>
          <w:sz w:val="20"/>
          <w:szCs w:val="20"/>
          <w:lang w:eastAsia="ro-RO"/>
        </w:rPr>
        <w:t>/</w:t>
      </w:r>
      <w:r w:rsidR="00045C24">
        <w:rPr>
          <w:rFonts w:ascii="Calibri" w:eastAsia="Times New Roman" w:hAnsi="Calibri" w:cs="Times New Roman"/>
          <w:b/>
          <w:bCs/>
          <w:sz w:val="20"/>
          <w:szCs w:val="20"/>
          <w:lang w:eastAsia="ro-RO"/>
        </w:rPr>
        <w:t>17.09</w:t>
      </w:r>
      <w:r>
        <w:rPr>
          <w:rFonts w:ascii="Calibri" w:eastAsia="Times New Roman" w:hAnsi="Calibri" w:cs="Times New Roman"/>
          <w:b/>
          <w:bCs/>
          <w:sz w:val="20"/>
          <w:szCs w:val="20"/>
          <w:lang w:eastAsia="ro-RO"/>
        </w:rPr>
        <w:t>.2018</w:t>
      </w:r>
      <w:bookmarkEnd w:id="0"/>
      <w:r>
        <w:rPr>
          <w:rFonts w:ascii="Calibri" w:eastAsia="Times New Roman" w:hAnsi="Calibri" w:cs="Times New Roman"/>
          <w:b/>
          <w:bCs/>
          <w:sz w:val="32"/>
          <w:szCs w:val="20"/>
          <w:lang w:eastAsia="ro-RO"/>
        </w:rPr>
        <w:tab/>
      </w:r>
      <w:r w:rsidR="002309CC" w:rsidRPr="002309CC">
        <w:rPr>
          <w:rFonts w:ascii="Calibri" w:eastAsia="Times New Roman" w:hAnsi="Calibri" w:cs="Times New Roman"/>
          <w:b/>
          <w:bCs/>
          <w:sz w:val="32"/>
          <w:szCs w:val="20"/>
          <w:lang w:eastAsia="ro-RO"/>
        </w:rPr>
        <w:t xml:space="preserve">APROBAT, </w:t>
      </w:r>
    </w:p>
    <w:p w:rsidR="002309CC" w:rsidRPr="002309CC" w:rsidRDefault="002309CC" w:rsidP="002309CC">
      <w:pPr>
        <w:spacing w:after="0" w:line="240" w:lineRule="auto"/>
        <w:jc w:val="right"/>
        <w:rPr>
          <w:rFonts w:ascii="Calibri" w:eastAsia="Times New Roman" w:hAnsi="Calibri" w:cs="Times New Roman"/>
          <w:b/>
          <w:bCs/>
          <w:sz w:val="20"/>
          <w:szCs w:val="20"/>
          <w:lang w:eastAsia="ro-RO"/>
        </w:rPr>
      </w:pPr>
      <w:r w:rsidRPr="002309CC">
        <w:rPr>
          <w:rFonts w:ascii="Calibri" w:eastAsia="Times New Roman" w:hAnsi="Calibri" w:cs="Times New Roman"/>
          <w:b/>
          <w:bCs/>
          <w:sz w:val="20"/>
          <w:szCs w:val="20"/>
          <w:lang w:eastAsia="ro-RO"/>
        </w:rPr>
        <w:t>PRESEDINTE C.JE.C. HUNEDOARA</w:t>
      </w:r>
    </w:p>
    <w:p w:rsidR="002309CC" w:rsidRPr="002309CC" w:rsidRDefault="002309CC" w:rsidP="002309CC">
      <w:pPr>
        <w:spacing w:after="0" w:line="240" w:lineRule="auto"/>
        <w:jc w:val="right"/>
        <w:rPr>
          <w:rFonts w:ascii="Calibri" w:eastAsia="Times New Roman" w:hAnsi="Calibri" w:cs="Times New Roman"/>
          <w:b/>
          <w:bCs/>
          <w:sz w:val="20"/>
          <w:szCs w:val="20"/>
          <w:lang w:eastAsia="ro-RO"/>
        </w:rPr>
      </w:pPr>
      <w:r w:rsidRPr="002309CC">
        <w:rPr>
          <w:rFonts w:ascii="Calibri" w:eastAsia="Times New Roman" w:hAnsi="Calibri" w:cs="Times New Roman"/>
          <w:b/>
          <w:bCs/>
          <w:sz w:val="20"/>
          <w:szCs w:val="20"/>
          <w:lang w:eastAsia="ro-RO"/>
        </w:rPr>
        <w:t>PROF. DR. MARTA MATE – I.S.G.A.</w:t>
      </w:r>
    </w:p>
    <w:p w:rsidR="002309CC" w:rsidRPr="002309CC" w:rsidRDefault="002309CC" w:rsidP="002309CC">
      <w:pPr>
        <w:spacing w:after="0" w:line="240" w:lineRule="auto"/>
        <w:jc w:val="right"/>
        <w:rPr>
          <w:rFonts w:ascii="Calibri" w:eastAsia="Times New Roman" w:hAnsi="Calibri" w:cs="Times New Roman"/>
          <w:b/>
          <w:bCs/>
          <w:sz w:val="20"/>
          <w:szCs w:val="20"/>
          <w:lang w:eastAsia="ro-RO"/>
        </w:rPr>
      </w:pPr>
      <w:r w:rsidRPr="002309CC">
        <w:rPr>
          <w:rFonts w:ascii="Calibri" w:eastAsia="Times New Roman" w:hAnsi="Calibri" w:cs="Times New Roman"/>
          <w:b/>
          <w:bCs/>
          <w:sz w:val="20"/>
          <w:szCs w:val="20"/>
          <w:lang w:eastAsia="ro-RO"/>
        </w:rPr>
        <w:t>VICEPREȘEDINTE C.J.E.C. HUNEDOARA</w:t>
      </w:r>
    </w:p>
    <w:p w:rsidR="002309CC" w:rsidRPr="002309CC" w:rsidRDefault="002309CC" w:rsidP="002309CC">
      <w:pPr>
        <w:spacing w:after="0" w:line="240" w:lineRule="auto"/>
        <w:jc w:val="right"/>
        <w:rPr>
          <w:rFonts w:ascii="Calibri" w:eastAsia="Times New Roman" w:hAnsi="Calibri" w:cs="Times New Roman"/>
          <w:b/>
          <w:bCs/>
          <w:sz w:val="20"/>
          <w:szCs w:val="20"/>
          <w:lang w:eastAsia="ro-RO"/>
        </w:rPr>
      </w:pPr>
      <w:r w:rsidRPr="002309CC">
        <w:rPr>
          <w:rFonts w:ascii="Calibri" w:eastAsia="Times New Roman" w:hAnsi="Calibri" w:cs="Times New Roman"/>
          <w:b/>
          <w:bCs/>
          <w:sz w:val="20"/>
          <w:szCs w:val="20"/>
          <w:lang w:eastAsia="ro-RO"/>
        </w:rPr>
        <w:t>PROF. DANA LUIZA CIOARĂ</w:t>
      </w:r>
    </w:p>
    <w:p w:rsidR="002309CC" w:rsidRPr="002309CC" w:rsidRDefault="002309CC" w:rsidP="002309CC">
      <w:pPr>
        <w:spacing w:after="0" w:line="240" w:lineRule="auto"/>
        <w:jc w:val="center"/>
        <w:rPr>
          <w:rFonts w:ascii="Calibri" w:eastAsia="Times New Roman" w:hAnsi="Calibri" w:cs="Times New Roman"/>
          <w:b/>
          <w:color w:val="000000"/>
          <w:sz w:val="20"/>
          <w:szCs w:val="20"/>
          <w:lang w:eastAsia="ro-RO"/>
        </w:rPr>
      </w:pPr>
      <w:r w:rsidRPr="002309CC">
        <w:rPr>
          <w:rFonts w:ascii="Calibri" w:eastAsia="Times New Roman" w:hAnsi="Calibri" w:cs="Times New Roman"/>
          <w:b/>
          <w:color w:val="000000"/>
          <w:sz w:val="32"/>
          <w:szCs w:val="20"/>
          <w:lang w:eastAsia="ro-RO"/>
        </w:rPr>
        <w:t xml:space="preserve">PROPUNERI </w:t>
      </w:r>
    </w:p>
    <w:p w:rsidR="002309CC" w:rsidRPr="002309CC" w:rsidRDefault="002309CC" w:rsidP="002309CC">
      <w:pPr>
        <w:spacing w:after="0" w:line="240" w:lineRule="auto"/>
        <w:jc w:val="center"/>
        <w:rPr>
          <w:rFonts w:ascii="Calibri" w:eastAsia="Times New Roman" w:hAnsi="Calibri" w:cs="Times New Roman"/>
          <w:b/>
          <w:color w:val="000000"/>
          <w:sz w:val="20"/>
          <w:szCs w:val="20"/>
          <w:lang w:eastAsia="ro-RO"/>
        </w:rPr>
      </w:pPr>
      <w:r w:rsidRPr="002309CC">
        <w:rPr>
          <w:rFonts w:ascii="Calibri" w:eastAsia="Times New Roman" w:hAnsi="Calibri" w:cs="Times New Roman"/>
          <w:b/>
          <w:color w:val="000000"/>
          <w:sz w:val="20"/>
          <w:szCs w:val="20"/>
          <w:lang w:eastAsia="ro-RO"/>
        </w:rPr>
        <w:t xml:space="preserve"> TEMATICA PROIECTELOR PENTRU EXAMENUL DE CERTIFICARE A COMPETENŢELOR PROFESIONALE</w:t>
      </w:r>
    </w:p>
    <w:p w:rsidR="002309CC" w:rsidRPr="002309CC" w:rsidRDefault="002309CC" w:rsidP="002309CC">
      <w:pPr>
        <w:spacing w:after="0" w:line="240" w:lineRule="auto"/>
        <w:jc w:val="center"/>
        <w:rPr>
          <w:rFonts w:ascii="Calibri" w:eastAsia="Times New Roman" w:hAnsi="Calibri" w:cs="Times New Roman"/>
          <w:b/>
          <w:color w:val="000000"/>
          <w:sz w:val="20"/>
          <w:szCs w:val="20"/>
          <w:lang w:eastAsia="ro-RO"/>
        </w:rPr>
      </w:pPr>
    </w:p>
    <w:p w:rsidR="002309CC" w:rsidRPr="00C118BC" w:rsidRDefault="002309CC" w:rsidP="002309CC">
      <w:pPr>
        <w:spacing w:after="0" w:line="240" w:lineRule="auto"/>
        <w:rPr>
          <w:rFonts w:ascii="Calibri" w:eastAsia="Times New Roman" w:hAnsi="Calibri" w:cs="Times New Roman"/>
          <w:b/>
          <w:lang w:eastAsia="ro-RO"/>
        </w:rPr>
      </w:pPr>
      <w:r w:rsidRPr="00C118BC">
        <w:rPr>
          <w:rFonts w:ascii="Calibri" w:eastAsia="Times New Roman" w:hAnsi="Calibri" w:cs="Times New Roman"/>
          <w:b/>
          <w:sz w:val="20"/>
          <w:szCs w:val="20"/>
          <w:lang w:eastAsia="ro-RO"/>
        </w:rPr>
        <w:t>NIVEL DE CALIFICARE: 5</w:t>
      </w:r>
    </w:p>
    <w:p w:rsidR="002309CC" w:rsidRPr="00C118BC" w:rsidRDefault="002309CC" w:rsidP="002309CC">
      <w:pPr>
        <w:spacing w:after="0" w:line="240" w:lineRule="auto"/>
        <w:rPr>
          <w:rFonts w:ascii="Calibri" w:eastAsia="Times New Roman" w:hAnsi="Calibri" w:cs="Times New Roman"/>
          <w:b/>
          <w:sz w:val="20"/>
          <w:szCs w:val="20"/>
          <w:lang w:eastAsia="ro-RO"/>
        </w:rPr>
      </w:pPr>
      <w:r w:rsidRPr="00C118BC">
        <w:rPr>
          <w:rFonts w:ascii="Calibri" w:eastAsia="Times New Roman" w:hAnsi="Calibri" w:cs="Times New Roman"/>
          <w:b/>
          <w:sz w:val="20"/>
          <w:szCs w:val="20"/>
          <w:lang w:eastAsia="ro-RO"/>
        </w:rPr>
        <w:t xml:space="preserve">PROFIL:  </w:t>
      </w:r>
      <w:r w:rsidR="000075CD" w:rsidRPr="00C118BC">
        <w:rPr>
          <w:rFonts w:ascii="Calibri" w:eastAsia="Times New Roman" w:hAnsi="Calibri" w:cs="Times New Roman"/>
          <w:b/>
          <w:sz w:val="20"/>
          <w:szCs w:val="20"/>
          <w:lang w:eastAsia="ro-RO"/>
        </w:rPr>
        <w:t>TEHNIC</w:t>
      </w:r>
    </w:p>
    <w:p w:rsidR="002309CC" w:rsidRPr="00C118BC" w:rsidRDefault="002309CC" w:rsidP="002309CC">
      <w:pPr>
        <w:spacing w:after="0" w:line="240" w:lineRule="auto"/>
        <w:rPr>
          <w:rFonts w:ascii="Calibri" w:eastAsia="Times New Roman" w:hAnsi="Calibri" w:cs="Times New Roman"/>
          <w:b/>
          <w:sz w:val="20"/>
          <w:szCs w:val="20"/>
          <w:lang w:eastAsia="ro-RO"/>
        </w:rPr>
      </w:pPr>
      <w:r w:rsidRPr="00C118BC">
        <w:rPr>
          <w:rFonts w:ascii="Calibri" w:eastAsia="Times New Roman" w:hAnsi="Calibri" w:cs="Times New Roman"/>
          <w:b/>
          <w:sz w:val="20"/>
          <w:szCs w:val="20"/>
          <w:lang w:eastAsia="ro-RO"/>
        </w:rPr>
        <w:t>DOMENIUL PROFESIONAL:</w:t>
      </w:r>
      <w:r w:rsidR="000075CD" w:rsidRPr="00C118BC">
        <w:rPr>
          <w:rFonts w:ascii="Calibri" w:eastAsia="Times New Roman" w:hAnsi="Calibri" w:cs="Times New Roman"/>
          <w:b/>
          <w:sz w:val="20"/>
          <w:szCs w:val="20"/>
          <w:lang w:eastAsia="ro-RO"/>
        </w:rPr>
        <w:t>ENERGETIC</w:t>
      </w:r>
    </w:p>
    <w:p w:rsidR="002309CC" w:rsidRPr="00C118BC" w:rsidRDefault="002309CC" w:rsidP="002309CC">
      <w:pPr>
        <w:spacing w:after="0" w:line="240" w:lineRule="auto"/>
        <w:rPr>
          <w:rFonts w:ascii="Calibri" w:eastAsia="Times New Roman" w:hAnsi="Calibri" w:cs="Times New Roman"/>
          <w:b/>
          <w:sz w:val="20"/>
          <w:szCs w:val="20"/>
          <w:lang w:eastAsia="ro-RO"/>
        </w:rPr>
      </w:pPr>
      <w:r w:rsidRPr="00C118BC">
        <w:rPr>
          <w:rFonts w:ascii="Calibri" w:eastAsia="Times New Roman" w:hAnsi="Calibri" w:cs="Times New Roman"/>
          <w:b/>
          <w:sz w:val="20"/>
          <w:szCs w:val="20"/>
          <w:lang w:eastAsia="ro-RO"/>
        </w:rPr>
        <w:t xml:space="preserve">CALIFICAREA PROFESIONALĂ: </w:t>
      </w:r>
      <w:r w:rsidR="000075CD" w:rsidRPr="00C118BC">
        <w:rPr>
          <w:rFonts w:ascii="Calibri" w:eastAsia="Times New Roman" w:hAnsi="Calibri" w:cs="Times New Roman"/>
          <w:b/>
          <w:sz w:val="20"/>
          <w:szCs w:val="20"/>
          <w:lang w:eastAsia="ro-RO"/>
        </w:rPr>
        <w:t>MAISTRU ELECTRICIAN CENTRALE STATII SI RETELE ELECTRICE</w:t>
      </w:r>
    </w:p>
    <w:p w:rsidR="002309CC" w:rsidRPr="00C118BC" w:rsidRDefault="002309CC" w:rsidP="002309CC">
      <w:pPr>
        <w:spacing w:after="0" w:line="240" w:lineRule="auto"/>
        <w:rPr>
          <w:rFonts w:ascii="Calibri" w:eastAsia="Times New Roman" w:hAnsi="Calibri" w:cs="Times New Roman"/>
          <w:b/>
          <w:sz w:val="20"/>
          <w:szCs w:val="20"/>
          <w:lang w:eastAsia="ro-RO"/>
        </w:rPr>
      </w:pPr>
      <w:r w:rsidRPr="00C118BC">
        <w:rPr>
          <w:rFonts w:ascii="Calibri" w:eastAsia="Times New Roman" w:hAnsi="Calibri" w:cs="Times New Roman"/>
          <w:b/>
          <w:sz w:val="20"/>
          <w:szCs w:val="20"/>
          <w:lang w:eastAsia="ro-RO"/>
        </w:rPr>
        <w:t xml:space="preserve">CLASA: </w:t>
      </w:r>
      <w:r w:rsidR="000075CD" w:rsidRPr="00C118BC">
        <w:rPr>
          <w:rFonts w:ascii="Calibri" w:eastAsia="Times New Roman" w:hAnsi="Calibri" w:cs="Times New Roman"/>
          <w:b/>
          <w:sz w:val="20"/>
          <w:szCs w:val="20"/>
          <w:lang w:eastAsia="ro-RO"/>
        </w:rPr>
        <w:t>II E</w:t>
      </w:r>
    </w:p>
    <w:p w:rsidR="002309CC" w:rsidRPr="00C118BC" w:rsidRDefault="002309CC" w:rsidP="002309CC">
      <w:pPr>
        <w:spacing w:after="0" w:line="240" w:lineRule="auto"/>
        <w:rPr>
          <w:rFonts w:ascii="Calibri" w:eastAsia="Times New Roman" w:hAnsi="Calibri" w:cs="Times New Roman"/>
          <w:b/>
          <w:sz w:val="20"/>
          <w:szCs w:val="20"/>
          <w:lang w:eastAsia="ro-RO"/>
        </w:rPr>
      </w:pPr>
      <w:r w:rsidRPr="00C118BC">
        <w:rPr>
          <w:rFonts w:ascii="Calibri" w:eastAsia="Times New Roman" w:hAnsi="Calibri" w:cs="Times New Roman"/>
          <w:b/>
          <w:sz w:val="20"/>
          <w:szCs w:val="20"/>
          <w:lang w:eastAsia="ro-RO"/>
        </w:rPr>
        <w:t>NR. ELEVI LA ÎNCEPUTUL ANULUI ȘCOLAR:</w:t>
      </w:r>
      <w:r w:rsidR="000075CD" w:rsidRPr="00C118BC">
        <w:rPr>
          <w:rFonts w:ascii="Calibri" w:eastAsia="Times New Roman" w:hAnsi="Calibri" w:cs="Times New Roman"/>
          <w:b/>
          <w:sz w:val="20"/>
          <w:szCs w:val="20"/>
          <w:lang w:eastAsia="ro-RO"/>
        </w:rPr>
        <w:t>30</w:t>
      </w:r>
    </w:p>
    <w:p w:rsidR="002309CC" w:rsidRPr="002309CC" w:rsidRDefault="000075CD" w:rsidP="002309CC">
      <w:pPr>
        <w:spacing w:after="0" w:line="240" w:lineRule="auto"/>
        <w:rPr>
          <w:rFonts w:ascii="Calibri" w:eastAsia="Times New Roman" w:hAnsi="Calibri" w:cs="Times New Roman"/>
          <w:b/>
          <w:color w:val="000000"/>
          <w:sz w:val="20"/>
          <w:szCs w:val="20"/>
          <w:lang w:eastAsia="ro-RO"/>
        </w:rPr>
      </w:pPr>
      <w:r w:rsidRPr="00C118BC">
        <w:rPr>
          <w:rFonts w:ascii="Calibri" w:eastAsia="Times New Roman" w:hAnsi="Calibri" w:cs="Times New Roman"/>
          <w:b/>
          <w:sz w:val="20"/>
          <w:szCs w:val="20"/>
          <w:lang w:eastAsia="ro-RO"/>
        </w:rPr>
        <w:t>AN ŞCOLAR 2018-2019</w:t>
      </w:r>
    </w:p>
    <w:p w:rsidR="002309CC" w:rsidRPr="002309CC" w:rsidRDefault="002309CC" w:rsidP="002309CC">
      <w:pPr>
        <w:spacing w:after="0" w:line="240" w:lineRule="auto"/>
        <w:rPr>
          <w:rFonts w:ascii="Calibri" w:eastAsia="Times New Roman" w:hAnsi="Calibri" w:cs="Times New Roman"/>
          <w:b/>
          <w:color w:val="000000"/>
          <w:sz w:val="20"/>
          <w:szCs w:val="20"/>
          <w:lang w:eastAsia="ro-RO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62"/>
        <w:gridCol w:w="4193"/>
        <w:gridCol w:w="4391"/>
      </w:tblGrid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:rsidR="002309CC" w:rsidRPr="002309CC" w:rsidRDefault="002309CC" w:rsidP="002309C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  <w:lang w:eastAsia="ro-RO"/>
              </w:rPr>
              <w:t>NR</w:t>
            </w:r>
          </w:p>
          <w:p w:rsidR="002309CC" w:rsidRPr="002309CC" w:rsidRDefault="002309CC" w:rsidP="002309C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  <w:lang w:eastAsia="ro-RO"/>
              </w:rPr>
              <w:t>CRT</w:t>
            </w: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:rsidR="002309CC" w:rsidRPr="002309CC" w:rsidRDefault="002309CC" w:rsidP="002309C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  <w:lang w:eastAsia="ro-RO"/>
              </w:rPr>
              <w:t>TEMA PROIECTULUI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:rsidR="002309CC" w:rsidRPr="002309CC" w:rsidRDefault="002309CC" w:rsidP="002309C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Calibri" w:eastAsia="Times New Roman" w:hAnsi="Calibri" w:cs="Times New Roman"/>
                <w:b/>
                <w:color w:val="000000"/>
                <w:sz w:val="20"/>
                <w:szCs w:val="20"/>
                <w:lang w:eastAsia="ro-RO"/>
              </w:rPr>
              <w:t>UNITĂȚI DE COMPETENȚĂ VIZATE DIN S.P.P.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>Efectele curentului electric asupra corpului omenesc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Utilizează echipamentul electric minier pentru realizarea securităţii.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2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aparatajul minier pentru comanda la distanţă.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Exploatează şi întreţine aparatajul specific minier.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 xml:space="preserve"> Alegerea echipamentului electric al statiilor electrice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</w:rPr>
              <w:t>12.1.</w:t>
            </w:r>
            <w:r w:rsidRPr="002309CC">
              <w:rPr>
                <w:rFonts w:ascii="Arial" w:eastAsia="Times New Roman" w:hAnsi="Arial" w:cs="Arial"/>
                <w:sz w:val="20"/>
                <w:szCs w:val="20"/>
              </w:rPr>
              <w:tab/>
              <w:t>Prezintă echipamentele electrice ale maşinilor de abataj.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</w:rPr>
              <w:t>12.2.</w:t>
            </w:r>
            <w:r w:rsidRPr="002309CC">
              <w:rPr>
                <w:rFonts w:ascii="Arial" w:eastAsia="Times New Roman" w:hAnsi="Arial" w:cs="Arial"/>
                <w:sz w:val="20"/>
                <w:szCs w:val="20"/>
              </w:rPr>
              <w:tab/>
              <w:t>Analizează mijloacele de transport folosite la evacuarea substanţei minerale utile din fronturile de lucru.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</w:rPr>
              <w:t>12.3.</w:t>
            </w:r>
            <w:r w:rsidRPr="002309CC">
              <w:rPr>
                <w:rFonts w:ascii="Arial" w:eastAsia="Times New Roman" w:hAnsi="Arial" w:cs="Arial"/>
                <w:sz w:val="20"/>
                <w:szCs w:val="20"/>
              </w:rPr>
              <w:tab/>
              <w:t>Selectează echipamentele electrice pentru instalaţiile electrice miniere staţionare.</w:t>
            </w:r>
          </w:p>
        </w:tc>
      </w:tr>
      <w:tr w:rsidR="002309CC" w:rsidRPr="002309CC" w:rsidTr="00904026">
        <w:trPr>
          <w:trHeight w:val="1365"/>
        </w:trPr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>Actionari cu grupuri de masini.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15.1.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automatizarea maşinilor şi instalaţiilor din abataje.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15.2.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Monitorizează desfăşurarea automata a procesului de transport minier.</w:t>
            </w:r>
          </w:p>
          <w:p w:rsidR="002309CC" w:rsidRPr="002309CC" w:rsidRDefault="002309CC" w:rsidP="002309CC">
            <w:pPr>
              <w:tabs>
                <w:tab w:val="center" w:pos="4320"/>
                <w:tab w:val="right" w:pos="8640"/>
              </w:tabs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15.3.Coordonează procesele miniere fluidice automate.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>Aparate auxiliare pentru actionari industriale si automatizari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15.1.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automatizarea maşinilor şi instalaţiilor din abataje.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15.2.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Monitorizează desfăşurarea automata a procesului de transport minier.</w:t>
            </w:r>
          </w:p>
          <w:p w:rsidR="002309CC" w:rsidRPr="002309CC" w:rsidRDefault="002309CC" w:rsidP="002309C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15.3.Coordonează procesele miniere fluidice automate.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>Aparate de protectie in electroenergetica.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Utilizează echipamentul electric minier pentru realizarea securităţii.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</w:t>
            </w:r>
            <w:r w:rsidR="0027239F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2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aparatajul minier pentru comanda la distanţă.</w:t>
            </w:r>
          </w:p>
          <w:p w:rsidR="002309CC" w:rsidRPr="002309CC" w:rsidRDefault="002309CC" w:rsidP="002309CC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Exploatează şi întreţine aparatajul specific minier.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>Aparate de protectie si reglaj.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Utilizează echipamentul electric minier pentru realizarea securităţii.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2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aparatajul minier pentru comanda la distanţă.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lastRenderedPageBreak/>
              <w:t>11.3.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Exploatează şi întreţine aparatajul specific minier.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>Transformatoare în electroenergetică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reţelele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Exploatează şi întreţine liniile electrice subterane.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Supraveghează protecţia reţelelor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10.4.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Monitorizează funcţionarea aparatajului din staţiile de transformare subterane.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>Evaluarea   riscurilor   de   accidentare  şi  de  îmbolnăvire   profesională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13.1.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Coordonează montarea, repararea şi întreţinerea aparatajului electric din abataje.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13.2.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Supraveghează operaţiile de montare şi întreţinere a echipamentelor electrice pentru maşinile de transport.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13.3.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Urmăreşte operaţiile de montare, punere în funcţiune şi întreţinere a echipamentelor electrice miniere staţionare.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>Instalatii de redresare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reţelele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Exploatează şi întreţine liniile electrice subterane.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Supraveghează protecţia reţelelor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10.4.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Monitorizează funcţionarea aparatajului din staţiile de transformare subterane.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 xml:space="preserve"> Întrerupătoare automate de joasă tensiune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13.1.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Coordonează montarea, repararea şi întreţinerea aparatajului electric din abataje.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13.2.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Supraveghează operaţiile de montare şi întreţinere a echipamentelor electrice pentru maşinile de transport.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13.3.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Urmăreşte operaţiile de montare, punere în funcţiune şi întreţinere a echipamentelor electrice miniere staţionare.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>Masurarea puterii si a energiei electrice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13.1.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Coordonează montarea, repararea şi întreţinerea aparatajului electric din abataje.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13.2.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Supraveghează operaţiile de montare şi întreţinere a echipamentelor electrice pentru maşinile de transport.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13.3.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Urmăreşte operaţiile de montare, punere în funcţiune şi întreţinere a echipamentelor electrice miniere staţionare.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>Conditiile de calitate in alimentarea cu energie electrica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Utilizează echipamentul electric minier pentru realizarea securităţii.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2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aparatajul minier pentru comanda la distanţă.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Exploatează şi întreţine aparatajul specific minier.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 xml:space="preserve"> Metode moderne de imbunatatire a calitatii energiei electrice.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reţelele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Exploatează şi întreţine liniile electrice subterane.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Supraveghează protecţia reţelelor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10.4.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Monitorizează funcţionarea aparatajului din staţiile de transformare subterane.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>Proiectarea instalatiei electrice a unui atelier mecanic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reţelele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Exploatează şi întreţine liniile electrice subterane.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Supraveghează protecţia reţelelor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10.4.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Monitorizează funcţionarea aparatajului din staţiile de transformare subterane.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>Servicii proprii de curent continuu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Utilizează echipamentul electric minier pentru realizarea securităţii.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2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aparatajul minier pentru comanda la distanţă.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Exploatează şi întreţine aparatajul specific minier.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>Alimentarea unui consumator din surse diferite cu ajutorul AAR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Utilizează echipamentul electric minier pentru realizarea securităţii.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2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aparatajul minier pentru comanda la distanţă.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Exploatează şi întreţine aparatajul specific minier.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>Impactul utilizarii centralelor electrice de mica putere asupra mediului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reţelele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Exploatează şi întreţine liniile electrice subterane.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Supraveghează protecţia reţelelor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10.4.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Monitorizează funcţionarea aparatajului din staţiile de transformare subterane.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>Regimurile de funcţionare, bilanţul de puteri si randamentul maşinilor electrice sincrone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Utilizează echipamentul electric minier pentru realizarea securităţii.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2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aparatajul minier pentru comanda la distanţă.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Exploatează şi întreţine aparatajul specific minier.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>Riscuri profesionale generate de mijloacele de producţie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13.1.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Coordonează montarea, repararea şi întreţinerea aparatajului electric din abataje.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13.2.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Supraveghează operaţiile de montare şi întreţinere a echipamentelor electrice pentru maşinile de transport.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13.3.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Urmăreşte operaţiile de montare, punere în funcţiune şi întreţinere a echipamentelor electrice miniere staţionare.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>Scheme de principiu pentru centrale electrice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reţelele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Exploatează şi întreţine liniile electrice subterane.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Supraveghează protecţia reţelelor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10.4.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Monitorizează funcţionarea aparatajului din staţiile de transformare subterane.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>Conceperea si realizarea instalatiilor de distributie a energiei electrice la consumatori.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reţelele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Exploatează şi întreţine liniile electrice subterane.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Supraveghează protecţia reţelelor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lastRenderedPageBreak/>
              <w:t>10.4.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Monitorizează funcţionarea aparatajului din staţiile de transformare subterane.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>Dimensionarea liniilor magistrale trifazate, pe baza criteriului volumului minim de material conductor.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reţelele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Exploatează şi întreţine liniile electrice subterane.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Supraveghează protecţia reţelelor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10.4.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Monitorizează funcţionarea aparatajului din staţiile de transformare subterane.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 xml:space="preserve"> Securitatea impotriva electrocutarii in instalatiile electrice industriale 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reţelele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Exploatează şi întreţine liniile electrice subterane.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Supraveghează protecţia reţelelor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10.4.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Monitorizează funcţionarea aparatajului din staţiile de transformare subterane.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>Scurtcircuite în instalaţiile electrice industriale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13.1.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Coordonează montarea, repararea şi întreţinerea aparatajului electric din abataje.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13.2.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Supraveghează operaţiile de montare şi întreţinere a echipamentelor electrice pentru maşinile de transport.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13.3.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Urmăreşte operaţiile de montare, punere în funcţiune şi întreţinere a echipamentelor electrice miniere staţionare.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 xml:space="preserve">Instalaţii de producere, transport s1 distribuţie a energiei electrice 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reţelele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Exploatează şi întreţine liniile electrice subterane.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Supraveghează protecţia reţelelor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10.4.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Monitorizează funcţionarea aparatajului din staţiile de transformare subterane.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 xml:space="preserve"> Bransamente electrice subterane. Clasificarea bransamentelor, materiale componente si utilizarea lor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Utilizează echipamentul electric minier pentru realizarea securităţii.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2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aparatajul minier pentru comanda la distanţă.</w:t>
            </w:r>
          </w:p>
          <w:p w:rsidR="002309CC" w:rsidRPr="002309CC" w:rsidRDefault="002309CC" w:rsidP="002309CC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11.3.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Exploatează şi întreţine aparatajul specific minier.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>Solicitari in retele electrice de joasa tensiune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12.1.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Prezintă echipamentele electrice ale maşinilor de abataj.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12.2.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mijloacele de transport folosite la evacuarea substanţei minerale utile din fronturile de lucru.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12.3.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Selectează echipamentele electrice pentru instalaţiile electrice miniere staţionare.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it-IT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val="it-IT" w:eastAsia="ro-RO"/>
              </w:rPr>
              <w:t>Dimensionarea instalatiilor electrice interioare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reţelele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Exploatează şi întreţine liniile electrice subterane.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Supraveghează protecţia reţelelor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10.4.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Monitorizează funcţionarea aparatajului din staţiile de transformare subterane.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noProof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noProof/>
                <w:sz w:val="20"/>
                <w:szCs w:val="20"/>
                <w:lang w:eastAsia="ro-RO"/>
              </w:rPr>
              <w:t>Materiale electroizolante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13.1.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Coordonează montarea, repararea şi întreţinerea aparatajului electric din abataje.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13.2.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Supraveghează operaţiile de montare şi întreţinere a echipamentelor electrice pentru maşinile de transport.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13.3.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Urmăreşte operaţiile de montare, punere în funcţiune şi întreţinere a echipamentelor electrice miniere staţionare.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r w:rsidRPr="002309CC">
              <w:rPr>
                <w:rFonts w:ascii="Arial" w:eastAsia="Times New Roman" w:hAnsi="Arial" w:cs="Arial"/>
                <w:sz w:val="20"/>
                <w:szCs w:val="20"/>
                <w:lang w:eastAsia="ro-RO"/>
              </w:rPr>
              <w:t>Solicitari in retele de joasa tensiune</w:t>
            </w:r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12.1.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Prezintă echipamentele electrice ale maşinilor de abataj.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12.2.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mijloacele de transport folosite la evacuarea substanţei minerale utile din fronturile de lucru.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12.3.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Selectează echipamentele electrice pentru instalaţiile electrice miniere staţionare.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902BFA" w:rsidRDefault="002309CC" w:rsidP="002309CC">
            <w:pPr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proofErr w:type="spellStart"/>
            <w:r w:rsidRPr="00902BFA">
              <w:rPr>
                <w:rFonts w:ascii="Arial" w:eastAsia="Times New Roman" w:hAnsi="Arial" w:cs="Arial"/>
                <w:sz w:val="20"/>
                <w:szCs w:val="20"/>
                <w:lang w:val="en-US"/>
              </w:rPr>
              <w:t>Intretinerea</w:t>
            </w:r>
            <w:proofErr w:type="spellEnd"/>
            <w:r w:rsidRPr="00902BFA">
              <w:rPr>
                <w:rFonts w:ascii="Arial" w:eastAsia="Times New Roman" w:hAnsi="Arial" w:cs="Arial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02BFA">
              <w:rPr>
                <w:rFonts w:ascii="Arial" w:eastAsia="Times New Roman" w:hAnsi="Arial" w:cs="Arial"/>
                <w:sz w:val="20"/>
                <w:szCs w:val="20"/>
                <w:lang w:val="en-US"/>
              </w:rPr>
              <w:t>echipamentelor</w:t>
            </w:r>
            <w:proofErr w:type="spellEnd"/>
            <w:r w:rsidRPr="00902BFA">
              <w:rPr>
                <w:rFonts w:ascii="Arial" w:eastAsia="Times New Roman" w:hAnsi="Arial" w:cs="Arial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02BFA">
              <w:rPr>
                <w:rFonts w:ascii="Arial" w:eastAsia="Times New Roman" w:hAnsi="Arial" w:cs="Arial"/>
                <w:sz w:val="20"/>
                <w:szCs w:val="20"/>
                <w:lang w:val="en-US"/>
              </w:rPr>
              <w:t>electrice</w:t>
            </w:r>
            <w:proofErr w:type="spellEnd"/>
            <w:r w:rsidRPr="00902BFA">
              <w:rPr>
                <w:rFonts w:ascii="Arial" w:eastAsia="Times New Roman" w:hAnsi="Arial" w:cs="Arial"/>
                <w:sz w:val="20"/>
                <w:szCs w:val="20"/>
                <w:lang w:val="en-US"/>
              </w:rPr>
              <w:t xml:space="preserve"> ale </w:t>
            </w:r>
            <w:proofErr w:type="spellStart"/>
            <w:r w:rsidRPr="00902BFA">
              <w:rPr>
                <w:rFonts w:ascii="Arial" w:eastAsia="Times New Roman" w:hAnsi="Arial" w:cs="Arial"/>
                <w:sz w:val="20"/>
                <w:szCs w:val="20"/>
                <w:lang w:val="en-US"/>
              </w:rPr>
              <w:t>utilajelor</w:t>
            </w:r>
            <w:proofErr w:type="spellEnd"/>
            <w:r w:rsidRPr="00902BFA">
              <w:rPr>
                <w:rFonts w:ascii="Arial" w:eastAsia="Times New Roman" w:hAnsi="Arial" w:cs="Arial"/>
                <w:sz w:val="20"/>
                <w:szCs w:val="20"/>
                <w:lang w:val="en-US"/>
              </w:rPr>
              <w:t xml:space="preserve"> din </w:t>
            </w:r>
            <w:proofErr w:type="spellStart"/>
            <w:r w:rsidRPr="00902BFA">
              <w:rPr>
                <w:rFonts w:ascii="Arial" w:eastAsia="Times New Roman" w:hAnsi="Arial" w:cs="Arial"/>
                <w:sz w:val="20"/>
                <w:szCs w:val="20"/>
                <w:lang w:val="en-US"/>
              </w:rPr>
              <w:t>abataj</w:t>
            </w:r>
            <w:proofErr w:type="spellEnd"/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13.1.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Coordonează montarea, repararea şi întreţinerea aparatajului electric din abataje.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13.2.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Supraveghează operaţiile de montare şi întreţinere a echipamentelor electrice pentru maşinile de transport.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13.3.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Urmăreşte operaţiile de montare, punere în funcţiune şi întreţinere a echipamentelor electrice miniere staţionare.</w:t>
            </w:r>
          </w:p>
        </w:tc>
      </w:tr>
      <w:tr w:rsidR="002309CC" w:rsidRPr="002309CC" w:rsidTr="00904026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20"/>
                <w:lang w:eastAsia="ro-RO"/>
              </w:rPr>
            </w:pPr>
          </w:p>
        </w:tc>
        <w:tc>
          <w:tcPr>
            <w:tcW w:w="2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902BFA" w:rsidRDefault="002309CC" w:rsidP="002309CC">
            <w:pPr>
              <w:tabs>
                <w:tab w:val="right" w:pos="5971"/>
              </w:tabs>
              <w:rPr>
                <w:rFonts w:ascii="Arial" w:eastAsia="Times New Roman" w:hAnsi="Arial" w:cs="Arial"/>
                <w:sz w:val="20"/>
                <w:szCs w:val="20"/>
                <w:lang w:val="en-US"/>
              </w:rPr>
            </w:pPr>
            <w:proofErr w:type="spellStart"/>
            <w:r w:rsidRPr="00902BFA">
              <w:rPr>
                <w:rFonts w:ascii="Arial" w:eastAsia="Times New Roman" w:hAnsi="Arial" w:cs="Arial"/>
                <w:sz w:val="20"/>
                <w:szCs w:val="20"/>
                <w:lang w:val="en-US"/>
              </w:rPr>
              <w:t>Exploatarea</w:t>
            </w:r>
            <w:proofErr w:type="spellEnd"/>
            <w:r w:rsidRPr="00902BFA">
              <w:rPr>
                <w:rFonts w:ascii="Arial" w:eastAsia="Times New Roman" w:hAnsi="Arial" w:cs="Arial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02BFA">
              <w:rPr>
                <w:rFonts w:ascii="Arial" w:eastAsia="Times New Roman" w:hAnsi="Arial" w:cs="Arial"/>
                <w:sz w:val="20"/>
                <w:szCs w:val="20"/>
                <w:lang w:val="en-US"/>
              </w:rPr>
              <w:t>liniilor</w:t>
            </w:r>
            <w:proofErr w:type="spellEnd"/>
            <w:r w:rsidRPr="00902BFA">
              <w:rPr>
                <w:rFonts w:ascii="Arial" w:eastAsia="Times New Roman" w:hAnsi="Arial" w:cs="Arial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02BFA">
              <w:rPr>
                <w:rFonts w:ascii="Arial" w:eastAsia="Times New Roman" w:hAnsi="Arial" w:cs="Arial"/>
                <w:sz w:val="20"/>
                <w:szCs w:val="20"/>
                <w:lang w:val="en-US"/>
              </w:rPr>
              <w:t>electrice</w:t>
            </w:r>
            <w:proofErr w:type="spellEnd"/>
            <w:r w:rsidRPr="00902BFA">
              <w:rPr>
                <w:rFonts w:ascii="Arial" w:eastAsia="Times New Roman" w:hAnsi="Arial" w:cs="Arial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02BFA">
              <w:rPr>
                <w:rFonts w:ascii="Arial" w:eastAsia="Times New Roman" w:hAnsi="Arial" w:cs="Arial"/>
                <w:sz w:val="20"/>
                <w:szCs w:val="20"/>
                <w:lang w:val="en-US"/>
              </w:rPr>
              <w:t>subterane</w:t>
            </w:r>
            <w:proofErr w:type="spellEnd"/>
          </w:p>
        </w:tc>
        <w:tc>
          <w:tcPr>
            <w:tcW w:w="23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10.1.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Analizează reţelele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10.2.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Exploatează şi întreţine liniile electrice subterane.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10.3.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Supraveghează protecţia reţelelor electrice miniere.</w:t>
            </w:r>
          </w:p>
          <w:p w:rsidR="002309CC" w:rsidRPr="002309CC" w:rsidRDefault="002309CC" w:rsidP="002309CC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  <w:sz w:val="18"/>
                <w:szCs w:val="20"/>
                <w:lang w:eastAsia="ro-RO"/>
              </w:rPr>
            </w:pP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>10.4.</w:t>
            </w:r>
            <w:r w:rsidRPr="002309CC">
              <w:rPr>
                <w:rFonts w:ascii="Arial" w:eastAsia="Times New Roman" w:hAnsi="Arial" w:cs="Arial"/>
                <w:color w:val="000000"/>
                <w:sz w:val="20"/>
                <w:szCs w:val="20"/>
                <w:lang w:eastAsia="ro-RO"/>
              </w:rPr>
              <w:tab/>
              <w:t>Monitorizează funcţionarea aparatajului din staţiile de transformare subterane.</w:t>
            </w:r>
          </w:p>
        </w:tc>
      </w:tr>
    </w:tbl>
    <w:p w:rsidR="002309CC" w:rsidRPr="002309CC" w:rsidRDefault="002309CC" w:rsidP="002309CC">
      <w:pPr>
        <w:spacing w:after="0" w:line="240" w:lineRule="auto"/>
        <w:ind w:left="888" w:firstLine="528"/>
        <w:rPr>
          <w:rFonts w:ascii="Calibri" w:eastAsia="Times New Roman" w:hAnsi="Calibri" w:cs="Times New Roman"/>
          <w:color w:val="000000"/>
          <w:sz w:val="24"/>
          <w:szCs w:val="20"/>
          <w:lang w:eastAsia="ro-RO"/>
        </w:rPr>
      </w:pPr>
      <w:r w:rsidRPr="002309CC">
        <w:rPr>
          <w:rFonts w:ascii="Calibri" w:eastAsia="Times New Roman" w:hAnsi="Calibri" w:cs="Times New Roman"/>
          <w:color w:val="000000"/>
          <w:sz w:val="24"/>
          <w:szCs w:val="20"/>
          <w:lang w:eastAsia="ro-RO"/>
        </w:rPr>
        <w:t xml:space="preserve">Întocmit, </w:t>
      </w:r>
    </w:p>
    <w:p w:rsidR="002309CC" w:rsidRPr="002309CC" w:rsidRDefault="002309CC" w:rsidP="002309CC">
      <w:pPr>
        <w:spacing w:after="0" w:line="240" w:lineRule="auto"/>
        <w:ind w:left="888" w:firstLine="528"/>
        <w:rPr>
          <w:rFonts w:ascii="Calibri" w:eastAsia="Times New Roman" w:hAnsi="Calibri" w:cs="Times New Roman"/>
          <w:color w:val="000000"/>
          <w:sz w:val="24"/>
          <w:szCs w:val="20"/>
          <w:lang w:eastAsia="ro-RO"/>
        </w:rPr>
      </w:pPr>
      <w:r w:rsidRPr="002309CC">
        <w:rPr>
          <w:rFonts w:ascii="Calibri" w:eastAsia="Times New Roman" w:hAnsi="Calibri" w:cs="Times New Roman"/>
          <w:color w:val="000000"/>
          <w:sz w:val="24"/>
          <w:szCs w:val="20"/>
          <w:lang w:eastAsia="ro-RO"/>
        </w:rPr>
        <w:t>Nume și prenume: Hanumolo Daniela</w:t>
      </w:r>
    </w:p>
    <w:p w:rsidR="002309CC" w:rsidRPr="002309CC" w:rsidRDefault="002309CC" w:rsidP="002309CC">
      <w:pPr>
        <w:spacing w:after="0" w:line="240" w:lineRule="auto"/>
        <w:ind w:left="888" w:firstLine="528"/>
        <w:rPr>
          <w:rFonts w:ascii="Calibri" w:eastAsia="Times New Roman" w:hAnsi="Calibri" w:cs="Times New Roman"/>
          <w:color w:val="000000"/>
          <w:sz w:val="24"/>
          <w:szCs w:val="20"/>
          <w:lang w:eastAsia="ro-RO"/>
        </w:rPr>
      </w:pPr>
      <w:r w:rsidRPr="002309CC">
        <w:rPr>
          <w:rFonts w:ascii="Calibri" w:eastAsia="Times New Roman" w:hAnsi="Calibri" w:cs="Times New Roman"/>
          <w:color w:val="000000"/>
          <w:sz w:val="24"/>
          <w:szCs w:val="20"/>
          <w:lang w:eastAsia="ro-RO"/>
        </w:rPr>
        <w:t xml:space="preserve"> Responsabil de arie curriculară prof. Galeș Zina</w:t>
      </w:r>
    </w:p>
    <w:p w:rsidR="002309CC" w:rsidRPr="002309CC" w:rsidRDefault="002309CC" w:rsidP="002309CC">
      <w:pPr>
        <w:spacing w:after="0" w:line="240" w:lineRule="auto"/>
        <w:ind w:left="888" w:firstLine="528"/>
        <w:rPr>
          <w:rFonts w:ascii="Calibri" w:eastAsia="Times New Roman" w:hAnsi="Calibri" w:cs="Times New Roman"/>
          <w:color w:val="000000"/>
          <w:sz w:val="24"/>
          <w:szCs w:val="20"/>
          <w:lang w:eastAsia="ro-RO"/>
        </w:rPr>
      </w:pPr>
    </w:p>
    <w:p w:rsidR="002309CC" w:rsidRPr="002309CC" w:rsidRDefault="002309CC" w:rsidP="002309CC">
      <w:pPr>
        <w:spacing w:after="0" w:line="240" w:lineRule="auto"/>
        <w:ind w:left="888" w:hanging="888"/>
        <w:rPr>
          <w:rFonts w:ascii="Calibri" w:eastAsia="Times New Roman" w:hAnsi="Calibri" w:cs="Times New Roman"/>
          <w:color w:val="000000"/>
          <w:sz w:val="24"/>
          <w:szCs w:val="20"/>
          <w:lang w:eastAsia="ro-RO"/>
        </w:rPr>
      </w:pPr>
      <w:r w:rsidRPr="002309CC">
        <w:rPr>
          <w:rFonts w:ascii="Calibri" w:eastAsia="Times New Roman" w:hAnsi="Calibri" w:cs="Times New Roman"/>
          <w:color w:val="000000"/>
          <w:sz w:val="24"/>
          <w:szCs w:val="20"/>
          <w:lang w:eastAsia="ro-RO"/>
        </w:rPr>
        <w:t>Temele de proiect au fost aprobate în Consiliul de Administrație</w:t>
      </w:r>
      <w:r w:rsidR="00C118BC">
        <w:rPr>
          <w:rFonts w:ascii="Calibri" w:eastAsia="Times New Roman" w:hAnsi="Calibri" w:cs="Times New Roman"/>
          <w:color w:val="000000"/>
          <w:sz w:val="24"/>
          <w:szCs w:val="20"/>
          <w:lang w:eastAsia="ro-RO"/>
        </w:rPr>
        <w:t xml:space="preserve"> al unității școlare din data de 19.09.2018</w:t>
      </w:r>
    </w:p>
    <w:p w:rsidR="002309CC" w:rsidRPr="002309CC" w:rsidRDefault="002309CC" w:rsidP="002309CC">
      <w:pPr>
        <w:spacing w:after="0" w:line="240" w:lineRule="auto"/>
        <w:ind w:left="888" w:hanging="888"/>
        <w:rPr>
          <w:rFonts w:ascii="Calibri" w:eastAsia="Times New Roman" w:hAnsi="Calibri" w:cs="Times New Roman"/>
          <w:color w:val="000000"/>
          <w:sz w:val="24"/>
          <w:szCs w:val="20"/>
          <w:lang w:eastAsia="ro-RO"/>
        </w:rPr>
      </w:pPr>
      <w:r w:rsidRPr="002309CC">
        <w:rPr>
          <w:rFonts w:ascii="Calibri" w:eastAsia="Times New Roman" w:hAnsi="Calibri" w:cs="Times New Roman"/>
          <w:color w:val="000000"/>
          <w:sz w:val="24"/>
          <w:szCs w:val="20"/>
          <w:lang w:eastAsia="ro-RO"/>
        </w:rPr>
        <w:t>Președinte CA,</w:t>
      </w:r>
    </w:p>
    <w:p w:rsidR="002309CC" w:rsidRPr="002309CC" w:rsidRDefault="002309CC" w:rsidP="002309CC">
      <w:pPr>
        <w:spacing w:after="0" w:line="240" w:lineRule="auto"/>
        <w:ind w:left="888" w:hanging="888"/>
        <w:rPr>
          <w:rFonts w:ascii="Calibri" w:eastAsia="Times New Roman" w:hAnsi="Calibri" w:cs="Times New Roman"/>
          <w:color w:val="000000"/>
          <w:sz w:val="24"/>
          <w:szCs w:val="20"/>
          <w:lang w:eastAsia="ro-RO"/>
        </w:rPr>
      </w:pPr>
      <w:r w:rsidRPr="002309CC">
        <w:rPr>
          <w:rFonts w:ascii="Calibri" w:eastAsia="Times New Roman" w:hAnsi="Calibri" w:cs="Times New Roman"/>
          <w:color w:val="000000"/>
          <w:sz w:val="24"/>
          <w:szCs w:val="20"/>
          <w:lang w:eastAsia="ro-RO"/>
        </w:rPr>
        <w:t>Di</w:t>
      </w:r>
      <w:r w:rsidR="000075CD">
        <w:rPr>
          <w:rFonts w:ascii="Calibri" w:eastAsia="Times New Roman" w:hAnsi="Calibri" w:cs="Times New Roman"/>
          <w:color w:val="000000"/>
          <w:sz w:val="24"/>
          <w:szCs w:val="20"/>
          <w:lang w:eastAsia="ro-RO"/>
        </w:rPr>
        <w:t>rector prof. Paraschiv Camelia</w:t>
      </w:r>
    </w:p>
    <w:p w:rsidR="00664B0F" w:rsidRDefault="00664B0F"/>
    <w:sectPr w:rsidR="00664B0F" w:rsidSect="0021295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133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430DC" w:rsidRDefault="00C430DC" w:rsidP="00B96C1E">
      <w:pPr>
        <w:spacing w:after="0" w:line="240" w:lineRule="auto"/>
      </w:pPr>
      <w:r>
        <w:separator/>
      </w:r>
    </w:p>
  </w:endnote>
  <w:endnote w:type="continuationSeparator" w:id="0">
    <w:p w:rsidR="00C430DC" w:rsidRDefault="00C430DC" w:rsidP="00B96C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96C1E" w:rsidRDefault="00B96C1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96C1E" w:rsidRDefault="00B96C1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96C1E" w:rsidRDefault="00B96C1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430DC" w:rsidRDefault="00C430DC" w:rsidP="00B96C1E">
      <w:pPr>
        <w:spacing w:after="0" w:line="240" w:lineRule="auto"/>
      </w:pPr>
      <w:r>
        <w:separator/>
      </w:r>
    </w:p>
  </w:footnote>
  <w:footnote w:type="continuationSeparator" w:id="0">
    <w:p w:rsidR="00C430DC" w:rsidRDefault="00C430DC" w:rsidP="00B96C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96C1E" w:rsidRDefault="00B96C1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80" w:rightFromText="180" w:vertAnchor="text" w:horzAnchor="margin" w:tblpXSpec="center" w:tblpY="-151"/>
      <w:tblOverlap w:val="never"/>
      <w:tblW w:w="11016" w:type="dxa"/>
      <w:tblBorders>
        <w:bottom w:val="single" w:sz="4" w:space="0" w:color="auto"/>
      </w:tblBorders>
      <w:tblLook w:val="04A0" w:firstRow="1" w:lastRow="0" w:firstColumn="1" w:lastColumn="0" w:noHBand="0" w:noVBand="1"/>
    </w:tblPr>
    <w:tblGrid>
      <w:gridCol w:w="10918"/>
      <w:gridCol w:w="222"/>
      <w:gridCol w:w="222"/>
    </w:tblGrid>
    <w:tr w:rsidR="00B96C1E" w:rsidRPr="00E33740" w:rsidTr="008A6BA4">
      <w:tc>
        <w:tcPr>
          <w:tcW w:w="4503" w:type="dxa"/>
        </w:tcPr>
        <w:tbl>
          <w:tblPr>
            <w:tblW w:w="10619" w:type="dxa"/>
            <w:tblBorders>
              <w:bottom w:val="single" w:sz="4" w:space="0" w:color="auto"/>
            </w:tblBorders>
            <w:tblCellMar>
              <w:left w:w="57" w:type="dxa"/>
              <w:right w:w="0" w:type="dxa"/>
            </w:tblCellMar>
            <w:tblLook w:val="04A0" w:firstRow="1" w:lastRow="0" w:firstColumn="1" w:lastColumn="0" w:noHBand="0" w:noVBand="1"/>
          </w:tblPr>
          <w:tblGrid>
            <w:gridCol w:w="10513"/>
            <w:gridCol w:w="63"/>
            <w:gridCol w:w="63"/>
            <w:gridCol w:w="63"/>
          </w:tblGrid>
          <w:tr w:rsidR="00B96C1E" w:rsidRPr="00A23291" w:rsidTr="00EE42EB">
            <w:trPr>
              <w:trHeight w:val="1412"/>
            </w:trPr>
            <w:tc>
              <w:tcPr>
                <w:tcW w:w="1554" w:type="dxa"/>
                <w:shd w:val="clear" w:color="auto" w:fill="auto"/>
              </w:tcPr>
              <w:tbl>
                <w:tblPr>
                  <w:tblW w:w="10456" w:type="dxa"/>
                  <w:tblBorders>
                    <w:bottom w:val="single" w:sz="4" w:space="0" w:color="auto"/>
                  </w:tblBorders>
                  <w:tblCellMar>
                    <w:left w:w="57" w:type="dxa"/>
                    <w:right w:w="0" w:type="dxa"/>
                  </w:tblCellMar>
                  <w:tblLook w:val="04A0" w:firstRow="1" w:lastRow="0" w:firstColumn="1" w:lastColumn="0" w:noHBand="0" w:noVBand="1"/>
                </w:tblPr>
                <w:tblGrid>
                  <w:gridCol w:w="1651"/>
                  <w:gridCol w:w="3929"/>
                  <w:gridCol w:w="1080"/>
                  <w:gridCol w:w="3796"/>
                </w:tblGrid>
                <w:tr w:rsidR="00EE42EB" w:rsidTr="00EE42EB">
                  <w:trPr>
                    <w:trHeight w:val="669"/>
                  </w:trPr>
                  <w:tc>
                    <w:tcPr>
                      <w:tcW w:w="1651" w:type="dxa"/>
                      <w:tcBorders>
                        <w:top w:val="nil"/>
                        <w:left w:val="nil"/>
                        <w:bottom w:val="single" w:sz="4" w:space="0" w:color="auto"/>
                        <w:right w:val="nil"/>
                      </w:tcBorders>
                      <w:hideMark/>
                    </w:tcPr>
                    <w:p w:rsidR="00EE42EB" w:rsidRDefault="00EE42EB" w:rsidP="00EE42EB">
                      <w:pPr>
                        <w:framePr w:hSpace="180" w:wrap="around" w:vAnchor="text" w:hAnchor="margin" w:xAlign="center" w:y="-151"/>
                        <w:suppressOverlap/>
                        <w:jc w:val="both"/>
                      </w:pPr>
                      <w:r>
                        <w:rPr>
                          <w:noProof/>
                          <w:lang w:eastAsia="ro-RO"/>
                        </w:rPr>
                        <w:drawing>
                          <wp:inline distT="0" distB="0" distL="0" distR="0">
                            <wp:extent cx="819150" cy="628650"/>
                            <wp:effectExtent l="0" t="0" r="0" b="0"/>
                            <wp:docPr id="7" name="Pictur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Object 1"/>
                                    <pic:cNvPicPr>
                                      <a:picLocks noChangeArrowheads="1"/>
                                    </pic:cNvPicPr>
                                  </pic:nvPicPr>
                                  <pic:blipFill>
                                    <a:blip r:embed="rId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b="-941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19150" cy="6286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c>
                  <w:tc>
                    <w:tcPr>
                      <w:tcW w:w="3929" w:type="dxa"/>
                      <w:tcBorders>
                        <w:top w:val="nil"/>
                        <w:left w:val="nil"/>
                        <w:bottom w:val="single" w:sz="4" w:space="0" w:color="auto"/>
                        <w:right w:val="nil"/>
                      </w:tcBorders>
                      <w:hideMark/>
                    </w:tcPr>
                    <w:p w:rsidR="00EE42EB" w:rsidRDefault="00EE42EB" w:rsidP="00EE42EB">
                      <w:pPr>
                        <w:framePr w:hSpace="180" w:wrap="around" w:vAnchor="text" w:hAnchor="margin" w:xAlign="center" w:y="-151"/>
                        <w:suppressOverlap/>
                      </w:pPr>
                      <w:r>
                        <w:t xml:space="preserve">Liceul Tehnologic ,,DIMITRIE LEONIDA” PETROŞANI </w:t>
                      </w:r>
                    </w:p>
                  </w:tc>
                  <w:tc>
                    <w:tcPr>
                      <w:tcW w:w="1080" w:type="dxa"/>
                      <w:tcBorders>
                        <w:top w:val="nil"/>
                        <w:left w:val="nil"/>
                        <w:bottom w:val="single" w:sz="4" w:space="0" w:color="auto"/>
                        <w:right w:val="nil"/>
                      </w:tcBorders>
                      <w:hideMark/>
                    </w:tcPr>
                    <w:p w:rsidR="00EE42EB" w:rsidRDefault="00EE42EB" w:rsidP="00EE42EB">
                      <w:pPr>
                        <w:framePr w:hSpace="180" w:wrap="around" w:vAnchor="text" w:hAnchor="margin" w:xAlign="center" w:y="-151"/>
                        <w:suppressOverlap/>
                        <w:jc w:val="both"/>
                        <w:rPr>
                          <w:spacing w:val="24"/>
                        </w:rPr>
                      </w:pPr>
                      <w:r>
                        <w:rPr>
                          <w:noProof/>
                          <w:lang w:eastAsia="ro-RO"/>
                        </w:rPr>
                        <w:drawing>
                          <wp:inline distT="0" distB="0" distL="0" distR="0">
                            <wp:extent cx="514350" cy="514350"/>
                            <wp:effectExtent l="0" t="0" r="0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14350" cy="5143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c>
                  <w:tc>
                    <w:tcPr>
                      <w:tcW w:w="3796" w:type="dxa"/>
                      <w:tcBorders>
                        <w:top w:val="nil"/>
                        <w:left w:val="nil"/>
                        <w:bottom w:val="single" w:sz="4" w:space="0" w:color="auto"/>
                        <w:right w:val="nil"/>
                      </w:tcBorders>
                    </w:tcPr>
                    <w:p w:rsidR="00EE42EB" w:rsidRDefault="00EE42EB" w:rsidP="00EE42EB">
                      <w:pPr>
                        <w:framePr w:hSpace="180" w:wrap="around" w:vAnchor="text" w:hAnchor="margin" w:xAlign="center" w:y="-151"/>
                        <w:suppressOverlap/>
                        <w:jc w:val="center"/>
                      </w:pPr>
                      <w:r>
                        <w:t>MINISTERUL EDUCAŢIEI NAŢIONALE</w:t>
                      </w:r>
                    </w:p>
                    <w:p w:rsidR="00EE42EB" w:rsidRDefault="00EE42EB" w:rsidP="00EE42EB">
                      <w:pPr>
                        <w:framePr w:hSpace="180" w:wrap="around" w:vAnchor="text" w:hAnchor="margin" w:xAlign="center" w:y="-151"/>
                        <w:suppressOverlap/>
                        <w:jc w:val="center"/>
                      </w:pPr>
                    </w:p>
                  </w:tc>
                </w:tr>
              </w:tbl>
              <w:p w:rsidR="00B96C1E" w:rsidRPr="00A23291" w:rsidRDefault="00B96C1E" w:rsidP="008A6BA4">
                <w:pPr>
                  <w:framePr w:hSpace="180" w:wrap="around" w:vAnchor="text" w:hAnchor="margin" w:xAlign="center" w:y="-151"/>
                  <w:contextualSpacing/>
                  <w:suppressOverlap/>
                </w:pPr>
              </w:p>
            </w:tc>
            <w:tc>
              <w:tcPr>
                <w:tcW w:w="4101" w:type="dxa"/>
                <w:shd w:val="clear" w:color="auto" w:fill="auto"/>
                <w:vAlign w:val="center"/>
              </w:tcPr>
              <w:p w:rsidR="00B96C1E" w:rsidRPr="00B96893" w:rsidRDefault="00B96C1E" w:rsidP="008A6BA4">
                <w:pPr>
                  <w:framePr w:hSpace="180" w:wrap="around" w:vAnchor="text" w:hAnchor="margin" w:xAlign="center" w:y="-151"/>
                  <w:contextualSpacing/>
                  <w:suppressOverlap/>
                </w:pPr>
              </w:p>
            </w:tc>
            <w:tc>
              <w:tcPr>
                <w:tcW w:w="1119" w:type="dxa"/>
              </w:tcPr>
              <w:p w:rsidR="00B96C1E" w:rsidRPr="003D46F5" w:rsidRDefault="00B96C1E" w:rsidP="008A6BA4">
                <w:pPr>
                  <w:framePr w:hSpace="180" w:wrap="around" w:vAnchor="text" w:hAnchor="margin" w:xAlign="center" w:y="-151"/>
                  <w:contextualSpacing/>
                  <w:suppressOverlap/>
                  <w:jc w:val="both"/>
                  <w:rPr>
                    <w:spacing w:val="24"/>
                  </w:rPr>
                </w:pPr>
              </w:p>
            </w:tc>
            <w:tc>
              <w:tcPr>
                <w:tcW w:w="3845" w:type="dxa"/>
              </w:tcPr>
              <w:p w:rsidR="00B96C1E" w:rsidRPr="003D46F5" w:rsidRDefault="00B96C1E" w:rsidP="008A6BA4">
                <w:pPr>
                  <w:framePr w:hSpace="180" w:wrap="around" w:vAnchor="text" w:hAnchor="margin" w:xAlign="center" w:y="-151"/>
                  <w:suppressOverlap/>
                  <w:jc w:val="center"/>
                </w:pPr>
              </w:p>
            </w:tc>
          </w:tr>
        </w:tbl>
        <w:p w:rsidR="00B96C1E" w:rsidRPr="00D17CA9" w:rsidRDefault="00B96C1E" w:rsidP="008A6BA4">
          <w:pPr>
            <w:ind w:firstLine="459"/>
            <w:jc w:val="both"/>
            <w:rPr>
              <w:sz w:val="20"/>
              <w:szCs w:val="20"/>
            </w:rPr>
          </w:pPr>
        </w:p>
      </w:tc>
      <w:tc>
        <w:tcPr>
          <w:tcW w:w="2409" w:type="dxa"/>
        </w:tcPr>
        <w:p w:rsidR="00B96C1E" w:rsidRPr="00D17CA9" w:rsidRDefault="00B96C1E" w:rsidP="008A6BA4">
          <w:pPr>
            <w:jc w:val="both"/>
          </w:pPr>
        </w:p>
      </w:tc>
      <w:tc>
        <w:tcPr>
          <w:tcW w:w="4104" w:type="dxa"/>
        </w:tcPr>
        <w:p w:rsidR="00B96C1E" w:rsidRPr="00D17CA9" w:rsidRDefault="00B96C1E" w:rsidP="008A6BA4">
          <w:pPr>
            <w:ind w:firstLine="666"/>
            <w:jc w:val="both"/>
            <w:rPr>
              <w:sz w:val="20"/>
              <w:szCs w:val="20"/>
            </w:rPr>
          </w:pPr>
        </w:p>
      </w:tc>
    </w:tr>
  </w:tbl>
  <w:p w:rsidR="00B96C1E" w:rsidRDefault="00B96C1E" w:rsidP="00315BA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96C1E" w:rsidRDefault="00B96C1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AB24659"/>
    <w:multiLevelType w:val="hybridMultilevel"/>
    <w:tmpl w:val="27DCA2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09CC"/>
    <w:rsid w:val="000075CD"/>
    <w:rsid w:val="00045C24"/>
    <w:rsid w:val="00183F85"/>
    <w:rsid w:val="001D7841"/>
    <w:rsid w:val="0021295D"/>
    <w:rsid w:val="002309CC"/>
    <w:rsid w:val="0027239F"/>
    <w:rsid w:val="002F5222"/>
    <w:rsid w:val="00315BA0"/>
    <w:rsid w:val="00525791"/>
    <w:rsid w:val="00664B0F"/>
    <w:rsid w:val="00902BFA"/>
    <w:rsid w:val="00904026"/>
    <w:rsid w:val="00B96C1E"/>
    <w:rsid w:val="00BD1C7A"/>
    <w:rsid w:val="00C118BC"/>
    <w:rsid w:val="00C430DC"/>
    <w:rsid w:val="00C9026F"/>
    <w:rsid w:val="00D8433D"/>
    <w:rsid w:val="00E12B85"/>
    <w:rsid w:val="00EB4B41"/>
    <w:rsid w:val="00EE42EB"/>
    <w:rsid w:val="00F3242F"/>
    <w:rsid w:val="00FB0A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3292026"/>
  <w15:docId w15:val="{761E45C9-2F2C-44A0-97B8-8F5D8A4010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309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09C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96C1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96C1E"/>
  </w:style>
  <w:style w:type="paragraph" w:styleId="Footer">
    <w:name w:val="footer"/>
    <w:basedOn w:val="Normal"/>
    <w:link w:val="FooterChar"/>
    <w:uiPriority w:val="99"/>
    <w:unhideWhenUsed/>
    <w:rsid w:val="00B96C1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96C1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4866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89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1578</Words>
  <Characters>9156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Daniela</dc:creator>
  <cp:lastModifiedBy>user</cp:lastModifiedBy>
  <cp:revision>4</cp:revision>
  <dcterms:created xsi:type="dcterms:W3CDTF">2018-12-21T08:47:00Z</dcterms:created>
  <dcterms:modified xsi:type="dcterms:W3CDTF">2018-12-21T10:41:00Z</dcterms:modified>
</cp:coreProperties>
</file>